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温州市瓯江口开发建设投资集团有限公司部分岗位招聘条件</w:t>
      </w:r>
      <w:r>
        <w:rPr>
          <w:rFonts w:hint="eastAsia" w:ascii="仿宋_GB2312" w:hAnsi="仿宋_GB2312" w:eastAsia="仿宋_GB2312" w:cs="仿宋_GB2312"/>
          <w:sz w:val="28"/>
          <w:szCs w:val="28"/>
        </w:rPr>
        <w:t>调整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情况一览</w:t>
      </w:r>
      <w:r>
        <w:rPr>
          <w:rFonts w:hint="eastAsia" w:ascii="仿宋_GB2312" w:hAnsi="仿宋_GB2312" w:eastAsia="仿宋_GB2312" w:cs="仿宋_GB2312"/>
          <w:sz w:val="28"/>
          <w:szCs w:val="28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86"/>
        <w:gridCol w:w="772"/>
        <w:gridCol w:w="2700"/>
        <w:gridCol w:w="1135"/>
        <w:gridCol w:w="793"/>
        <w:gridCol w:w="1372"/>
        <w:gridCol w:w="1500"/>
        <w:gridCol w:w="835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87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调整情况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岗位及编号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1314" w:type="dxa"/>
            <w:gridSpan w:val="7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87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spacing w:val="-2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spacing w:val="-2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137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职称/资格</w:t>
            </w:r>
          </w:p>
        </w:tc>
        <w:tc>
          <w:tcPr>
            <w:tcW w:w="83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</w:tc>
        <w:tc>
          <w:tcPr>
            <w:tcW w:w="2979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8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调整前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工程管理2（cj02）</w:t>
            </w:r>
          </w:p>
        </w:tc>
        <w:tc>
          <w:tcPr>
            <w:tcW w:w="77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土木类（0810）、水利类（0811）、建筑类（0828）、交通工程（081802）、园林（090502）、工程管理（120103）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1986年6月30日之后出生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岗位相关中级工程师及以上</w:t>
            </w:r>
          </w:p>
        </w:tc>
        <w:tc>
          <w:tcPr>
            <w:tcW w:w="83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2979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1、具有2年及以上工程安全管理工作经历；2、项目现场安全管理任务繁重，建议男性。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78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调整后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工程管理2（cj02）</w:t>
            </w:r>
          </w:p>
        </w:tc>
        <w:tc>
          <w:tcPr>
            <w:tcW w:w="77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土木类（0810）、水利类（0811）、建筑类（0828）、交通工程（081802）、园林（090502）、工程管理（120103）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1986年6月30日之后出生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岗位相关中级工程师及以上</w:t>
            </w:r>
          </w:p>
        </w:tc>
        <w:tc>
          <w:tcPr>
            <w:tcW w:w="83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2979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1、具有2年及以上工程安全管理工作经历；2、项目现场安全管理任务繁重，建议男性。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jZhZWJlODkzNzAyNTJiNmMxYzg0ODkwODAyNTEifQ=="/>
  </w:docVars>
  <w:rsids>
    <w:rsidRoot w:val="4D8E2833"/>
    <w:rsid w:val="4D8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100" w:firstLineChars="100"/>
    </w:pPr>
    <w:rPr>
      <w:spacing w:val="-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2022-08-09T08:06:00Z</dcterms:created>
  <dc:creator>你只是假装很努力</dc:creator>
  <cp:lastModifiedBy>你只是假装很努力</cp:lastModifiedBy>
  <dcterms:modified xsi:type="dcterms:W3CDTF">2022-08-09T08:08:06Z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676974C395844699987810588DE7B037</vt:lpwstr>
  </property>
</Properties>
</file>